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spacing w:line="240" w:lineRule="auto"/>
        <w:rPr>
          <w:rFonts w:ascii="Palatino Linotype" w:eastAsia="Palatino Linotype" w:hAnsi="Palatino Linotype" w:cs="Palatino Linotype"/>
          <w:b/>
          <w:lang w:val="en-GB"/>
        </w:rPr>
      </w:pPr>
      <w:r>
        <w:rPr>
          <w:rFonts w:ascii="Palatino Linotype" w:eastAsia="Palatino Linotype" w:hAnsi="Palatino Linotype" w:cs="Palatino Linotype"/>
          <w:b/>
          <w:lang w:val="en-GB"/>
        </w:rPr>
        <w:t>TEACHER TRAINING AT THE GATEWAY ACADEMY</w:t>
      </w:r>
      <w:bookmarkStart w:id="0" w:name="_GoBack"/>
      <w:bookmarkEnd w:id="0"/>
    </w:p>
    <w:p>
      <w:pPr>
        <w:spacing w:line="240" w:lineRule="auto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noProof/>
          <w:lang w:val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201295</wp:posOffset>
            </wp:positionV>
            <wp:extent cx="3067050" cy="2524125"/>
            <wp:effectExtent l="0" t="0" r="0" b="9525"/>
            <wp:wrapTight wrapText="bothSides">
              <wp:wrapPolygon edited="0">
                <wp:start x="0" y="0"/>
                <wp:lineTo x="0" y="21518"/>
                <wp:lineTo x="21466" y="21518"/>
                <wp:lineTo x="21466" y="0"/>
                <wp:lineTo x="0" y="0"/>
              </wp:wrapPolygon>
            </wp:wrapTight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524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 xml:space="preserve">At The Gateway Academy we are committed to nurturing the development of new teachers.  We firmly believe that passionate and well-trained teachers are key to securing excellent student progress.  Our dedication to providing our students with an exceptional academic curriculum is mirrored in our rigorous teacher training program. 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 xml:space="preserve">We have supported a number of teachers to achieve QTS through a variety of routes appropriate to their needs and desires.  In recent years, our completion rates for trainee teachers achieving QTS has been 100%.  Our teacher training programme is designed to empower our educators with the knowledge, skills and confidence they need to guide our students towards academic success and personal growth. 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b/>
          <w:lang w:val="en-GB"/>
        </w:rPr>
      </w:pPr>
      <w:r>
        <w:rPr>
          <w:rFonts w:ascii="Palatino Linotype" w:eastAsia="Palatino Linotype" w:hAnsi="Palatino Linotype" w:cs="Palatino Linotype"/>
          <w:b/>
          <w:lang w:val="en-GB"/>
        </w:rPr>
        <w:t>Teaching Routes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Whilst there are a range of routes into teaching, we have offered or supported the following routes:</w:t>
      </w:r>
    </w:p>
    <w:p>
      <w:pPr>
        <w:numPr>
          <w:ilvl w:val="0"/>
          <w:numId w:val="1"/>
        </w:numPr>
        <w:spacing w:line="240" w:lineRule="auto"/>
        <w:ind w:left="426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Teach First;</w:t>
      </w:r>
    </w:p>
    <w:p>
      <w:pPr>
        <w:numPr>
          <w:ilvl w:val="0"/>
          <w:numId w:val="1"/>
        </w:numPr>
        <w:spacing w:line="240" w:lineRule="auto"/>
        <w:ind w:left="426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University-based PGCE;</w:t>
      </w:r>
    </w:p>
    <w:p>
      <w:pPr>
        <w:numPr>
          <w:ilvl w:val="0"/>
          <w:numId w:val="1"/>
        </w:numPr>
        <w:spacing w:line="240" w:lineRule="auto"/>
        <w:ind w:left="426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Salaried School Direct with QTS;</w:t>
      </w:r>
    </w:p>
    <w:p>
      <w:pPr>
        <w:numPr>
          <w:ilvl w:val="0"/>
          <w:numId w:val="1"/>
        </w:numPr>
        <w:spacing w:line="240" w:lineRule="auto"/>
        <w:ind w:left="426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Unsalaried School Direct with PGCE and QTS; or</w:t>
      </w:r>
    </w:p>
    <w:p>
      <w:pPr>
        <w:numPr>
          <w:ilvl w:val="0"/>
          <w:numId w:val="1"/>
        </w:numPr>
        <w:spacing w:line="240" w:lineRule="auto"/>
        <w:ind w:left="426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Postgraduate Teaching Apprenticeship.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b/>
          <w:lang w:val="en-GB"/>
        </w:rPr>
      </w:pPr>
      <w:r>
        <w:rPr>
          <w:rFonts w:ascii="Palatino Linotype" w:eastAsia="Palatino Linotype" w:hAnsi="Palatino Linotype" w:cs="Palatino Linotype"/>
          <w:noProof/>
          <w:lang w:val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156845</wp:posOffset>
            </wp:positionV>
            <wp:extent cx="3209925" cy="2714625"/>
            <wp:effectExtent l="0" t="0" r="9525" b="9525"/>
            <wp:wrapTight wrapText="bothSides">
              <wp:wrapPolygon edited="0">
                <wp:start x="0" y="0"/>
                <wp:lineTo x="0" y="21524"/>
                <wp:lineTo x="21536" y="21524"/>
                <wp:lineTo x="21536" y="0"/>
                <wp:lineTo x="0" y="0"/>
              </wp:wrapPolygon>
            </wp:wrapTight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714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alatino Linotype" w:eastAsia="Palatino Linotype" w:hAnsi="Palatino Linotype" w:cs="Palatino Linotype"/>
          <w:b/>
          <w:lang w:val="en-GB"/>
        </w:rPr>
        <w:t>Teaching Requirements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The majority of routes into teaching will require an undergraduate degree (or equivalent) in a relevant subject as well as Grade C/4s in English and Maths.  However, at The Gateway Academy, we have also successfully supported brilliant colleagues in securing university degrees alongside a teaching role.  Additionally, we also greatly welcome interest in teaching routes from past students who are eager to return to the Academy.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  <w:r>
        <w:rPr>
          <w:rFonts w:ascii="Palatino Linotype" w:eastAsia="Palatino Linotype" w:hAnsi="Palatino Linotype" w:cs="Palatino Linotype"/>
          <w:lang w:val="en-GB"/>
        </w:rPr>
        <w:t>If you would like to pursue a profession that is continually challenging, whilst also profoundly purposeful, training with The Gateway Academy will offer the opportunity to become an exceptional educator.</w:t>
      </w:r>
    </w:p>
    <w:p>
      <w:pPr>
        <w:spacing w:line="240" w:lineRule="auto"/>
        <w:jc w:val="both"/>
        <w:rPr>
          <w:rFonts w:ascii="Palatino Linotype" w:eastAsia="Palatino Linotype" w:hAnsi="Palatino Linotype" w:cs="Palatino Linotype"/>
          <w:lang w:val="en-GB"/>
        </w:rPr>
      </w:pPr>
    </w:p>
    <w:p>
      <w:pPr>
        <w:rPr>
          <w:rFonts w:ascii="Palatino Linotype" w:eastAsia="Palatino Linotype" w:hAnsi="Palatino Linotype" w:cs="Palatino Linotype"/>
          <w:lang w:val="en-GB"/>
        </w:rPr>
      </w:pPr>
    </w:p>
    <w:p>
      <w:pPr>
        <w:rPr>
          <w:rFonts w:ascii="Palatino Linotype" w:eastAsia="Palatino Linotype" w:hAnsi="Palatino Linotype" w:cs="Palatino Linotype"/>
          <w:lang w:val="en-GB"/>
        </w:rPr>
      </w:pPr>
    </w:p>
    <w:sectPr>
      <w:headerReference w:type="default" r:id="rId9"/>
      <w:pgSz w:w="12240" w:h="15840"/>
      <w:pgMar w:top="1418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40" w:lineRule="auto"/>
      </w:pPr>
      <w:r>
        <w:separator/>
      </w:r>
    </w:p>
  </w:endnote>
  <w:endnote w:type="continuationSeparator" w:id="0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line="240" w:lineRule="auto"/>
      </w:pPr>
      <w:r>
        <w:separator/>
      </w:r>
    </w:p>
  </w:footnote>
  <w:footnote w:type="continuationSeparator" w:id="0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3019425</wp:posOffset>
          </wp:positionH>
          <wp:positionV relativeFrom="paragraph">
            <wp:posOffset>-171450</wp:posOffset>
          </wp:positionV>
          <wp:extent cx="3402965" cy="619125"/>
          <wp:effectExtent l="0" t="0" r="6985" b="9525"/>
          <wp:wrapTight wrapText="bothSides">
            <wp:wrapPolygon edited="0">
              <wp:start x="0" y="0"/>
              <wp:lineTo x="0" y="21268"/>
              <wp:lineTo x="21523" y="21268"/>
              <wp:lineTo x="2152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296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F31D8"/>
    <w:multiLevelType w:val="multilevel"/>
    <w:tmpl w:val="B33A306C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AA25A0-A31B-4D01-B829-3F817BAE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Jaffa</dc:creator>
  <cp:lastModifiedBy>Jo Jaffa</cp:lastModifiedBy>
  <cp:revision>3</cp:revision>
  <dcterms:created xsi:type="dcterms:W3CDTF">2023-10-18T06:39:00Z</dcterms:created>
  <dcterms:modified xsi:type="dcterms:W3CDTF">2023-10-18T06:39:00Z</dcterms:modified>
</cp:coreProperties>
</file>